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ONE MAN WENT TO MOW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CAPO 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One man, two men,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  G                          C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They come to mow the meadow;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                   C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Three men, four men,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      G           D            G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They come to mow the hay;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                               C                         G          C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Four and three and two and one and oh lots more.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                                             C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They mow the hay and they take it away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     G                              C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On a beautiful summer’s day.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Five men, six men,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        G                       C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They come to mow the meadow;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                   C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Seven men, eight men,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      G           D            G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They come to mow the hay;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F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Eight, then seven,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Then six, then five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F                               C                         G          C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Four and three and two and one and oh lots more.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F                                             C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They mow the hay and they take it away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        G                              C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On a beautiful summer’s day.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Nine men, ten men,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      G                           C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They come to mow the meadow;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F                   C                          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Eleven men, twelve men,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          G            D          G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They come to mow the hay;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F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Twelve, eleven,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Ten, then nine,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F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They eight and seven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F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And six and five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F                               C                         G          C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Four and three and two and one and oh lots more.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F                                             C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They mow the hay and they take it away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        G                              C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On a beautiful summer’s day.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(Keep counting up to sixteen)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